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CB" w:rsidRPr="005378CB" w:rsidRDefault="005378CB" w:rsidP="005378CB">
      <w:r>
        <w:t xml:space="preserve">Name: _______________________________  </w:t>
      </w:r>
      <w:r>
        <w:tab/>
      </w:r>
      <w:r>
        <w:tab/>
      </w:r>
      <w:r>
        <w:tab/>
      </w:r>
      <w:r>
        <w:tab/>
      </w:r>
      <w:r>
        <w:tab/>
        <w:t xml:space="preserve">Date: ________________ </w:t>
      </w:r>
    </w:p>
    <w:p w:rsidR="00CA6746" w:rsidRPr="005378CB" w:rsidRDefault="00CA6746" w:rsidP="005378CB">
      <w:pPr>
        <w:jc w:val="center"/>
        <w:rPr>
          <w:b/>
          <w:sz w:val="40"/>
          <w:szCs w:val="40"/>
        </w:rPr>
      </w:pPr>
      <w:r w:rsidRPr="005378CB">
        <w:rPr>
          <w:b/>
          <w:sz w:val="40"/>
          <w:szCs w:val="40"/>
        </w:rPr>
        <w:t>L</w:t>
      </w:r>
      <w:r w:rsidR="00080969" w:rsidRPr="005378CB">
        <w:rPr>
          <w:b/>
          <w:sz w:val="40"/>
          <w:szCs w:val="40"/>
        </w:rPr>
        <w:t xml:space="preserve">ewis Dot Structures </w:t>
      </w:r>
      <w:r w:rsidR="00910BB4">
        <w:rPr>
          <w:b/>
          <w:sz w:val="40"/>
          <w:szCs w:val="40"/>
        </w:rPr>
        <w:t>Guided Inquiry Lab</w:t>
      </w:r>
    </w:p>
    <w:p w:rsidR="00CA6746" w:rsidRDefault="00CA6746"/>
    <w:p w:rsidR="005378CB" w:rsidRDefault="00910BB4">
      <w:pPr>
        <w:rPr>
          <w:b/>
        </w:rPr>
      </w:pPr>
      <w:r>
        <w:rPr>
          <w:b/>
        </w:rPr>
        <w:t xml:space="preserve">Instructions:  There are 12 stations set up around the room.  At each station, you and your partner must manipulate the “valence electrons” of the different elements in order to create the correct Lewis structure.  When you believe you have the correct Lewis structure, </w:t>
      </w:r>
      <w:r w:rsidR="008B0DBD">
        <w:rPr>
          <w:b/>
        </w:rPr>
        <w:t xml:space="preserve">draw it in the chart below, and use your VSEPR worksheet to identify the molecular geometry.  </w:t>
      </w:r>
    </w:p>
    <w:p w:rsidR="00CA6746" w:rsidRDefault="00CA6746"/>
    <w:p w:rsidR="008B0DBD" w:rsidRDefault="008B0DBD"/>
    <w:tbl>
      <w:tblPr>
        <w:tblStyle w:val="TableGrid"/>
        <w:tblW w:w="10835" w:type="dxa"/>
        <w:tblLook w:val="01E0"/>
      </w:tblPr>
      <w:tblGrid>
        <w:gridCol w:w="2415"/>
        <w:gridCol w:w="4321"/>
        <w:gridCol w:w="4099"/>
      </w:tblGrid>
      <w:tr w:rsidR="00080969" w:rsidTr="008B0DBD">
        <w:trPr>
          <w:trHeight w:val="386"/>
        </w:trPr>
        <w:tc>
          <w:tcPr>
            <w:tcW w:w="2415" w:type="dxa"/>
            <w:shd w:val="clear" w:color="auto" w:fill="D9D9D9"/>
          </w:tcPr>
          <w:p w:rsidR="00CA6746" w:rsidRPr="00CA6746" w:rsidRDefault="00CA6746" w:rsidP="00CA6746">
            <w:pPr>
              <w:jc w:val="center"/>
              <w:rPr>
                <w:b/>
                <w:sz w:val="28"/>
                <w:szCs w:val="28"/>
              </w:rPr>
            </w:pPr>
            <w:r w:rsidRPr="00CA6746">
              <w:rPr>
                <w:b/>
                <w:sz w:val="28"/>
                <w:szCs w:val="28"/>
              </w:rPr>
              <w:t>Compound</w:t>
            </w:r>
          </w:p>
        </w:tc>
        <w:tc>
          <w:tcPr>
            <w:tcW w:w="4321" w:type="dxa"/>
            <w:shd w:val="clear" w:color="auto" w:fill="D9D9D9"/>
          </w:tcPr>
          <w:p w:rsidR="00CA6746" w:rsidRPr="00CA6746" w:rsidRDefault="00080969" w:rsidP="00080969">
            <w:pPr>
              <w:jc w:val="center"/>
              <w:rPr>
                <w:b/>
                <w:sz w:val="28"/>
                <w:szCs w:val="28"/>
              </w:rPr>
            </w:pPr>
            <w:r w:rsidRPr="00080969">
              <w:rPr>
                <w:b/>
                <w:sz w:val="28"/>
                <w:szCs w:val="28"/>
              </w:rPr>
              <w:t>Lewis Dot Structure</w:t>
            </w:r>
          </w:p>
        </w:tc>
        <w:tc>
          <w:tcPr>
            <w:tcW w:w="4099" w:type="dxa"/>
            <w:shd w:val="clear" w:color="auto" w:fill="D9D9D9"/>
          </w:tcPr>
          <w:p w:rsidR="00CA6746" w:rsidRPr="00CA6746" w:rsidRDefault="00080969" w:rsidP="00CA6746">
            <w:pPr>
              <w:jc w:val="center"/>
              <w:rPr>
                <w:b/>
                <w:sz w:val="28"/>
                <w:szCs w:val="28"/>
              </w:rPr>
            </w:pPr>
            <w:r>
              <w:rPr>
                <w:b/>
                <w:sz w:val="28"/>
                <w:szCs w:val="28"/>
              </w:rPr>
              <w:t>Molecular Geometry</w:t>
            </w:r>
          </w:p>
        </w:tc>
      </w:tr>
      <w:tr w:rsidR="00080969" w:rsidTr="008B0DBD">
        <w:trPr>
          <w:trHeight w:val="1320"/>
        </w:trPr>
        <w:tc>
          <w:tcPr>
            <w:tcW w:w="2415" w:type="dxa"/>
            <w:vAlign w:val="center"/>
          </w:tcPr>
          <w:p w:rsidR="00CA6746" w:rsidRPr="00910BB4" w:rsidRDefault="00910BB4" w:rsidP="00CA6746">
            <w:pPr>
              <w:jc w:val="center"/>
              <w:rPr>
                <w:b/>
                <w:sz w:val="36"/>
                <w:szCs w:val="36"/>
              </w:rPr>
            </w:pPr>
            <w:r>
              <w:rPr>
                <w:b/>
                <w:sz w:val="36"/>
                <w:szCs w:val="36"/>
              </w:rPr>
              <w:t>H</w:t>
            </w:r>
            <w:r w:rsidR="00CA6746" w:rsidRPr="00CA6746">
              <w:rPr>
                <w:b/>
                <w:sz w:val="36"/>
                <w:szCs w:val="36"/>
                <w:vertAlign w:val="subscript"/>
              </w:rPr>
              <w:t>2</w:t>
            </w:r>
            <w:r>
              <w:rPr>
                <w:b/>
                <w:sz w:val="36"/>
                <w:szCs w:val="36"/>
              </w:rPr>
              <w:t>O</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tc>
      </w:tr>
      <w:tr w:rsidR="00080969" w:rsidTr="008B0DBD">
        <w:trPr>
          <w:trHeight w:val="1365"/>
        </w:trPr>
        <w:tc>
          <w:tcPr>
            <w:tcW w:w="2415" w:type="dxa"/>
            <w:vAlign w:val="center"/>
          </w:tcPr>
          <w:p w:rsidR="00CA6746" w:rsidRPr="00CA6746" w:rsidRDefault="008B0DBD" w:rsidP="00CA6746">
            <w:pPr>
              <w:jc w:val="center"/>
              <w:rPr>
                <w:b/>
                <w:sz w:val="36"/>
                <w:szCs w:val="36"/>
              </w:rPr>
            </w:pPr>
            <w:r>
              <w:rPr>
                <w:b/>
                <w:sz w:val="36"/>
                <w:szCs w:val="36"/>
              </w:rPr>
              <w:t>N</w:t>
            </w:r>
            <w:r w:rsidRPr="008B0DBD">
              <w:rPr>
                <w:b/>
                <w:sz w:val="36"/>
                <w:szCs w:val="36"/>
                <w:vertAlign w:val="subscript"/>
              </w:rPr>
              <w:t>2</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p w:rsidR="00CA6746" w:rsidRDefault="00CA6746"/>
        </w:tc>
      </w:tr>
      <w:tr w:rsidR="00080969" w:rsidTr="008B0DBD">
        <w:trPr>
          <w:trHeight w:val="1318"/>
        </w:trPr>
        <w:tc>
          <w:tcPr>
            <w:tcW w:w="2415" w:type="dxa"/>
            <w:vAlign w:val="center"/>
          </w:tcPr>
          <w:p w:rsidR="00CA6746" w:rsidRPr="00CA6746" w:rsidRDefault="00CA6746" w:rsidP="00CA6746">
            <w:pPr>
              <w:jc w:val="center"/>
              <w:rPr>
                <w:b/>
                <w:sz w:val="36"/>
                <w:szCs w:val="36"/>
              </w:rPr>
            </w:pPr>
            <w:r w:rsidRPr="00CA6746">
              <w:rPr>
                <w:b/>
                <w:sz w:val="36"/>
                <w:szCs w:val="36"/>
              </w:rPr>
              <w:t>C</w:t>
            </w:r>
            <w:r w:rsidR="008B0DBD">
              <w:rPr>
                <w:b/>
                <w:sz w:val="36"/>
                <w:szCs w:val="36"/>
              </w:rPr>
              <w:t>O</w:t>
            </w:r>
            <w:r w:rsidR="008B0DBD">
              <w:rPr>
                <w:b/>
                <w:sz w:val="36"/>
                <w:szCs w:val="36"/>
                <w:vertAlign w:val="subscript"/>
              </w:rPr>
              <w:t>2</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p w:rsidR="00CA6746" w:rsidRDefault="00CA6746"/>
        </w:tc>
      </w:tr>
      <w:tr w:rsidR="00080969" w:rsidTr="008B0DBD">
        <w:trPr>
          <w:trHeight w:val="1365"/>
        </w:trPr>
        <w:tc>
          <w:tcPr>
            <w:tcW w:w="2415" w:type="dxa"/>
            <w:vAlign w:val="center"/>
          </w:tcPr>
          <w:p w:rsidR="00CA6746" w:rsidRPr="00CA6746" w:rsidRDefault="008B0DBD" w:rsidP="00CA6746">
            <w:pPr>
              <w:jc w:val="center"/>
              <w:rPr>
                <w:b/>
                <w:sz w:val="36"/>
                <w:szCs w:val="36"/>
              </w:rPr>
            </w:pPr>
            <w:r>
              <w:rPr>
                <w:b/>
                <w:sz w:val="36"/>
                <w:szCs w:val="36"/>
              </w:rPr>
              <w:t>Br</w:t>
            </w:r>
            <w:r w:rsidR="00CA6746" w:rsidRPr="00CA6746">
              <w:rPr>
                <w:b/>
                <w:sz w:val="36"/>
                <w:szCs w:val="36"/>
                <w:vertAlign w:val="subscript"/>
              </w:rPr>
              <w:t>2</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p w:rsidR="00CA6746" w:rsidRDefault="00CA6746"/>
        </w:tc>
      </w:tr>
      <w:tr w:rsidR="00080969" w:rsidTr="008B0DBD">
        <w:trPr>
          <w:trHeight w:val="1235"/>
        </w:trPr>
        <w:tc>
          <w:tcPr>
            <w:tcW w:w="2415" w:type="dxa"/>
            <w:vAlign w:val="center"/>
          </w:tcPr>
          <w:p w:rsidR="00CA6746" w:rsidRPr="00CA6746" w:rsidRDefault="008B0DBD" w:rsidP="00CA6746">
            <w:pPr>
              <w:jc w:val="center"/>
              <w:rPr>
                <w:b/>
                <w:sz w:val="36"/>
                <w:szCs w:val="36"/>
              </w:rPr>
            </w:pPr>
            <w:r>
              <w:rPr>
                <w:b/>
                <w:sz w:val="36"/>
                <w:szCs w:val="36"/>
              </w:rPr>
              <w:t>O</w:t>
            </w:r>
            <w:r>
              <w:rPr>
                <w:b/>
                <w:sz w:val="36"/>
                <w:szCs w:val="36"/>
                <w:vertAlign w:val="subscript"/>
              </w:rPr>
              <w:t>2</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tc>
      </w:tr>
      <w:tr w:rsidR="00080969" w:rsidTr="008B0DBD">
        <w:trPr>
          <w:trHeight w:val="1320"/>
        </w:trPr>
        <w:tc>
          <w:tcPr>
            <w:tcW w:w="2415" w:type="dxa"/>
            <w:vAlign w:val="center"/>
          </w:tcPr>
          <w:p w:rsidR="00CA6746" w:rsidRPr="00CA6746" w:rsidRDefault="00080969" w:rsidP="00080969">
            <w:pPr>
              <w:jc w:val="center"/>
              <w:rPr>
                <w:b/>
                <w:sz w:val="36"/>
                <w:szCs w:val="36"/>
              </w:rPr>
            </w:pPr>
            <w:r w:rsidRPr="00080969">
              <w:rPr>
                <w:b/>
                <w:sz w:val="36"/>
                <w:szCs w:val="36"/>
              </w:rPr>
              <w:t>CH</w:t>
            </w:r>
            <w:r w:rsidRPr="00080969">
              <w:rPr>
                <w:b/>
                <w:sz w:val="36"/>
                <w:szCs w:val="36"/>
                <w:vertAlign w:val="subscript"/>
              </w:rPr>
              <w:t>4</w:t>
            </w:r>
          </w:p>
        </w:tc>
        <w:tc>
          <w:tcPr>
            <w:tcW w:w="4321" w:type="dxa"/>
          </w:tcPr>
          <w:p w:rsidR="00CA6746" w:rsidRDefault="00CA6746"/>
        </w:tc>
        <w:tc>
          <w:tcPr>
            <w:tcW w:w="4099" w:type="dxa"/>
          </w:tcPr>
          <w:p w:rsidR="00CA6746" w:rsidRDefault="00CA6746"/>
          <w:p w:rsidR="00CA6746" w:rsidRDefault="00CA6746"/>
          <w:p w:rsidR="00CA6746" w:rsidRDefault="00CA6746"/>
          <w:p w:rsidR="00CA6746" w:rsidRDefault="00CA6746"/>
        </w:tc>
      </w:tr>
    </w:tbl>
    <w:p w:rsidR="00820EF0" w:rsidRDefault="00820EF0"/>
    <w:p w:rsidR="008B0DBD" w:rsidRDefault="008B0DBD"/>
    <w:p w:rsidR="008B0DBD" w:rsidRDefault="008B0DBD"/>
    <w:p w:rsidR="008B0DBD" w:rsidRDefault="008B0DBD"/>
    <w:p w:rsidR="008B0DBD" w:rsidRDefault="008B0DBD"/>
    <w:p w:rsidR="008B0DBD" w:rsidRDefault="008B0DBD"/>
    <w:p w:rsidR="008B0DBD" w:rsidRDefault="008B0DBD"/>
    <w:p w:rsidR="008B0DBD" w:rsidRDefault="008B0DBD"/>
    <w:p w:rsidR="008B0DBD" w:rsidRDefault="008B0DBD"/>
    <w:p w:rsidR="008B0DBD" w:rsidRDefault="008B0DBD"/>
    <w:p w:rsidR="008B0DBD" w:rsidRDefault="00282CAF">
      <w:r w:rsidRPr="00282CAF">
        <w:rPr>
          <w:b/>
          <w:u w:val="single"/>
        </w:rPr>
        <w:lastRenderedPageBreak/>
        <w:t>CHALLENGE STATIONS:</w:t>
      </w:r>
      <w:r>
        <w:t xml:space="preserve"> Exceptions to the Octet Rule!</w:t>
      </w:r>
    </w:p>
    <w:p w:rsidR="00282CAF" w:rsidRDefault="00282CAF"/>
    <w:p w:rsidR="00282CAF" w:rsidRDefault="00282CAF">
      <w:r>
        <w:t>Stations 7-9: Sometimes, a central element can fit more than 8 electrons around itself.  The only elements that can do this are in row 3 and below (the most common are sulfur, phosphorus, silicon, arsenic, and selenium).</w:t>
      </w:r>
    </w:p>
    <w:tbl>
      <w:tblPr>
        <w:tblpPr w:leftFromText="180" w:rightFromText="180" w:vertAnchor="page" w:horzAnchor="margin" w:tblpY="2596"/>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4213"/>
        <w:gridCol w:w="3997"/>
      </w:tblGrid>
      <w:tr w:rsidR="00820EF0" w:rsidTr="00282CAF">
        <w:trPr>
          <w:trHeight w:val="463"/>
        </w:trPr>
        <w:tc>
          <w:tcPr>
            <w:tcW w:w="2356" w:type="dxa"/>
            <w:shd w:val="clear" w:color="auto" w:fill="B3B3B3"/>
          </w:tcPr>
          <w:p w:rsidR="00820EF0" w:rsidRPr="00820EF0" w:rsidRDefault="00820EF0" w:rsidP="00282CAF">
            <w:pPr>
              <w:jc w:val="center"/>
              <w:rPr>
                <w:b/>
                <w:sz w:val="28"/>
                <w:szCs w:val="28"/>
              </w:rPr>
            </w:pPr>
            <w:r w:rsidRPr="00820EF0">
              <w:rPr>
                <w:b/>
                <w:sz w:val="28"/>
                <w:szCs w:val="28"/>
              </w:rPr>
              <w:t>Compound</w:t>
            </w:r>
          </w:p>
        </w:tc>
        <w:tc>
          <w:tcPr>
            <w:tcW w:w="4213" w:type="dxa"/>
            <w:shd w:val="clear" w:color="auto" w:fill="B3B3B3"/>
          </w:tcPr>
          <w:p w:rsidR="00820EF0" w:rsidRPr="00820EF0" w:rsidRDefault="00820EF0" w:rsidP="00282CAF">
            <w:pPr>
              <w:jc w:val="center"/>
              <w:rPr>
                <w:b/>
                <w:sz w:val="28"/>
                <w:szCs w:val="28"/>
              </w:rPr>
            </w:pPr>
            <w:r w:rsidRPr="00820EF0">
              <w:rPr>
                <w:b/>
                <w:sz w:val="28"/>
                <w:szCs w:val="28"/>
              </w:rPr>
              <w:t>Lewis Dot Structure</w:t>
            </w:r>
          </w:p>
        </w:tc>
        <w:tc>
          <w:tcPr>
            <w:tcW w:w="3997" w:type="dxa"/>
            <w:shd w:val="clear" w:color="auto" w:fill="B3B3B3"/>
          </w:tcPr>
          <w:p w:rsidR="00820EF0" w:rsidRPr="00820EF0" w:rsidRDefault="00820EF0" w:rsidP="00282CAF">
            <w:pPr>
              <w:jc w:val="center"/>
              <w:rPr>
                <w:b/>
                <w:sz w:val="28"/>
                <w:szCs w:val="28"/>
              </w:rPr>
            </w:pPr>
            <w:r w:rsidRPr="00820EF0">
              <w:rPr>
                <w:b/>
                <w:sz w:val="28"/>
                <w:szCs w:val="28"/>
              </w:rPr>
              <w:t>Molecular Geometry</w:t>
            </w:r>
          </w:p>
        </w:tc>
      </w:tr>
      <w:tr w:rsidR="00820EF0" w:rsidTr="00282CAF">
        <w:trPr>
          <w:trHeight w:val="997"/>
        </w:trPr>
        <w:tc>
          <w:tcPr>
            <w:tcW w:w="2356" w:type="dxa"/>
            <w:shd w:val="clear" w:color="auto" w:fill="auto"/>
            <w:vAlign w:val="center"/>
          </w:tcPr>
          <w:p w:rsidR="00820EF0" w:rsidRPr="00820EF0" w:rsidRDefault="00FC6FBC" w:rsidP="00282CAF">
            <w:pPr>
              <w:jc w:val="center"/>
              <w:rPr>
                <w:b/>
                <w:sz w:val="36"/>
                <w:szCs w:val="36"/>
              </w:rPr>
            </w:pPr>
            <w:r>
              <w:rPr>
                <w:b/>
                <w:sz w:val="36"/>
                <w:szCs w:val="36"/>
              </w:rPr>
              <w:t>PCl</w:t>
            </w:r>
            <w:r>
              <w:rPr>
                <w:b/>
                <w:sz w:val="36"/>
                <w:szCs w:val="36"/>
                <w:vertAlign w:val="subscript"/>
              </w:rPr>
              <w:t>5</w:t>
            </w:r>
          </w:p>
        </w:tc>
        <w:tc>
          <w:tcPr>
            <w:tcW w:w="4213" w:type="dxa"/>
            <w:shd w:val="clear" w:color="auto" w:fill="auto"/>
          </w:tcPr>
          <w:p w:rsidR="00820EF0" w:rsidRDefault="00820EF0" w:rsidP="00282CAF"/>
        </w:tc>
        <w:tc>
          <w:tcPr>
            <w:tcW w:w="3997" w:type="dxa"/>
            <w:shd w:val="clear" w:color="auto" w:fill="auto"/>
          </w:tcPr>
          <w:p w:rsidR="00820EF0" w:rsidRDefault="00820EF0" w:rsidP="00282CAF"/>
          <w:p w:rsidR="00820EF0" w:rsidRDefault="00820EF0" w:rsidP="00282CAF"/>
          <w:p w:rsidR="00820EF0" w:rsidRDefault="00820EF0" w:rsidP="00282CAF"/>
          <w:p w:rsidR="00820EF0" w:rsidRDefault="00820EF0" w:rsidP="00282CAF"/>
        </w:tc>
      </w:tr>
      <w:tr w:rsidR="00820EF0" w:rsidTr="00282CAF">
        <w:trPr>
          <w:trHeight w:val="997"/>
        </w:trPr>
        <w:tc>
          <w:tcPr>
            <w:tcW w:w="2356" w:type="dxa"/>
            <w:shd w:val="clear" w:color="auto" w:fill="auto"/>
            <w:vAlign w:val="center"/>
          </w:tcPr>
          <w:p w:rsidR="00820EF0" w:rsidRPr="00820EF0" w:rsidRDefault="00FC6FBC" w:rsidP="00282CAF">
            <w:pPr>
              <w:jc w:val="center"/>
              <w:rPr>
                <w:b/>
                <w:sz w:val="36"/>
                <w:szCs w:val="36"/>
              </w:rPr>
            </w:pPr>
            <w:r>
              <w:rPr>
                <w:b/>
                <w:sz w:val="36"/>
                <w:szCs w:val="36"/>
              </w:rPr>
              <w:t>Se</w:t>
            </w:r>
            <w:r w:rsidR="00820EF0">
              <w:rPr>
                <w:b/>
                <w:sz w:val="36"/>
                <w:szCs w:val="36"/>
              </w:rPr>
              <w:t>S</w:t>
            </w:r>
            <w:r w:rsidR="00820EF0" w:rsidRPr="00820EF0">
              <w:rPr>
                <w:b/>
                <w:sz w:val="36"/>
                <w:szCs w:val="36"/>
                <w:vertAlign w:val="subscript"/>
              </w:rPr>
              <w:t>2</w:t>
            </w:r>
          </w:p>
        </w:tc>
        <w:tc>
          <w:tcPr>
            <w:tcW w:w="4213" w:type="dxa"/>
            <w:shd w:val="clear" w:color="auto" w:fill="auto"/>
          </w:tcPr>
          <w:p w:rsidR="00820EF0" w:rsidRDefault="00820EF0" w:rsidP="00282CAF"/>
        </w:tc>
        <w:tc>
          <w:tcPr>
            <w:tcW w:w="3997" w:type="dxa"/>
            <w:shd w:val="clear" w:color="auto" w:fill="auto"/>
          </w:tcPr>
          <w:p w:rsidR="00820EF0" w:rsidRDefault="00820EF0" w:rsidP="00282CAF"/>
          <w:p w:rsidR="00820EF0" w:rsidRDefault="00820EF0" w:rsidP="00282CAF"/>
          <w:p w:rsidR="00820EF0" w:rsidRDefault="00820EF0" w:rsidP="00282CAF"/>
          <w:p w:rsidR="00820EF0" w:rsidRDefault="00820EF0" w:rsidP="00282CAF"/>
          <w:p w:rsidR="00820EF0" w:rsidRDefault="00820EF0" w:rsidP="00282CAF"/>
        </w:tc>
      </w:tr>
      <w:tr w:rsidR="00820EF0" w:rsidTr="00282CAF">
        <w:trPr>
          <w:trHeight w:val="997"/>
        </w:trPr>
        <w:tc>
          <w:tcPr>
            <w:tcW w:w="2356" w:type="dxa"/>
            <w:shd w:val="clear" w:color="auto" w:fill="auto"/>
            <w:vAlign w:val="center"/>
          </w:tcPr>
          <w:p w:rsidR="00820EF0" w:rsidRPr="00820EF0" w:rsidRDefault="00FC6FBC" w:rsidP="00282CAF">
            <w:pPr>
              <w:jc w:val="center"/>
              <w:rPr>
                <w:b/>
                <w:sz w:val="36"/>
                <w:szCs w:val="36"/>
              </w:rPr>
            </w:pPr>
            <w:r>
              <w:rPr>
                <w:b/>
                <w:sz w:val="36"/>
                <w:szCs w:val="36"/>
              </w:rPr>
              <w:t>S</w:t>
            </w:r>
            <w:r w:rsidR="00820EF0">
              <w:rPr>
                <w:b/>
                <w:sz w:val="36"/>
                <w:szCs w:val="36"/>
              </w:rPr>
              <w:t>F</w:t>
            </w:r>
            <w:r>
              <w:rPr>
                <w:b/>
                <w:sz w:val="36"/>
                <w:szCs w:val="36"/>
                <w:vertAlign w:val="subscript"/>
              </w:rPr>
              <w:t>6</w:t>
            </w:r>
          </w:p>
        </w:tc>
        <w:tc>
          <w:tcPr>
            <w:tcW w:w="4213" w:type="dxa"/>
            <w:shd w:val="clear" w:color="auto" w:fill="auto"/>
          </w:tcPr>
          <w:p w:rsidR="00820EF0" w:rsidRDefault="00820EF0" w:rsidP="00282CAF"/>
        </w:tc>
        <w:tc>
          <w:tcPr>
            <w:tcW w:w="3997" w:type="dxa"/>
            <w:shd w:val="clear" w:color="auto" w:fill="auto"/>
          </w:tcPr>
          <w:p w:rsidR="00820EF0" w:rsidRDefault="00820EF0" w:rsidP="00282CAF"/>
          <w:p w:rsidR="00820EF0" w:rsidRDefault="00820EF0" w:rsidP="00282CAF"/>
          <w:p w:rsidR="00820EF0" w:rsidRDefault="00820EF0" w:rsidP="00282CAF"/>
          <w:p w:rsidR="00820EF0" w:rsidRDefault="00820EF0" w:rsidP="00282CAF"/>
          <w:p w:rsidR="00820EF0" w:rsidRDefault="00820EF0" w:rsidP="00282CAF"/>
        </w:tc>
      </w:tr>
    </w:tbl>
    <w:p w:rsidR="0091125D" w:rsidRDefault="0091125D"/>
    <w:p w:rsidR="00282CAF" w:rsidRDefault="00282CAF">
      <w:pPr>
        <w:rPr>
          <w:b/>
          <w:sz w:val="28"/>
          <w:szCs w:val="28"/>
        </w:rPr>
      </w:pPr>
    </w:p>
    <w:p w:rsidR="00282CAF" w:rsidRDefault="00282CAF">
      <w:pPr>
        <w:rPr>
          <w:b/>
          <w:sz w:val="28"/>
          <w:szCs w:val="28"/>
        </w:rPr>
      </w:pPr>
      <w:r>
        <w:rPr>
          <w:b/>
          <w:sz w:val="28"/>
          <w:szCs w:val="28"/>
        </w:rPr>
        <w:t>Stations 10 – 12: other exceptions to the octet rule</w:t>
      </w:r>
    </w:p>
    <w:tbl>
      <w:tblPr>
        <w:tblpPr w:leftFromText="180" w:rightFromText="180" w:vertAnchor="page" w:horzAnchor="margin" w:tblpY="8041"/>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285"/>
        <w:gridCol w:w="4065"/>
      </w:tblGrid>
      <w:tr w:rsidR="00282CAF" w:rsidTr="00282CAF">
        <w:trPr>
          <w:trHeight w:val="1333"/>
        </w:trPr>
        <w:tc>
          <w:tcPr>
            <w:tcW w:w="2396" w:type="dxa"/>
            <w:shd w:val="clear" w:color="auto" w:fill="auto"/>
            <w:vAlign w:val="center"/>
          </w:tcPr>
          <w:p w:rsidR="00282CAF" w:rsidRPr="0091125D" w:rsidRDefault="00FC6FBC" w:rsidP="00282CAF">
            <w:pPr>
              <w:jc w:val="center"/>
              <w:rPr>
                <w:b/>
                <w:sz w:val="28"/>
                <w:szCs w:val="28"/>
              </w:rPr>
            </w:pPr>
            <w:r>
              <w:rPr>
                <w:b/>
                <w:sz w:val="36"/>
                <w:szCs w:val="36"/>
              </w:rPr>
              <w:t>NO</w:t>
            </w:r>
          </w:p>
        </w:tc>
        <w:tc>
          <w:tcPr>
            <w:tcW w:w="4285" w:type="dxa"/>
            <w:shd w:val="clear" w:color="auto" w:fill="auto"/>
          </w:tcPr>
          <w:p w:rsidR="00282CAF" w:rsidRDefault="00282CAF" w:rsidP="00282CAF"/>
        </w:tc>
        <w:tc>
          <w:tcPr>
            <w:tcW w:w="4065" w:type="dxa"/>
            <w:shd w:val="clear" w:color="auto" w:fill="auto"/>
          </w:tcPr>
          <w:p w:rsidR="00282CAF" w:rsidRDefault="00282CAF" w:rsidP="00282CAF"/>
          <w:p w:rsidR="00282CAF" w:rsidRDefault="00282CAF" w:rsidP="00282CAF"/>
          <w:p w:rsidR="00282CAF" w:rsidRDefault="00282CAF" w:rsidP="00282CAF"/>
          <w:p w:rsidR="00282CAF" w:rsidRDefault="00282CAF" w:rsidP="00282CAF"/>
        </w:tc>
      </w:tr>
      <w:tr w:rsidR="00282CAF" w:rsidTr="00282CAF">
        <w:trPr>
          <w:trHeight w:val="1333"/>
        </w:trPr>
        <w:tc>
          <w:tcPr>
            <w:tcW w:w="2396" w:type="dxa"/>
            <w:shd w:val="clear" w:color="auto" w:fill="auto"/>
            <w:vAlign w:val="center"/>
          </w:tcPr>
          <w:p w:rsidR="00282CAF" w:rsidRPr="0091125D" w:rsidRDefault="00FC6FBC" w:rsidP="00282CAF">
            <w:pPr>
              <w:jc w:val="center"/>
              <w:rPr>
                <w:b/>
                <w:sz w:val="28"/>
                <w:szCs w:val="28"/>
              </w:rPr>
            </w:pPr>
            <w:r>
              <w:rPr>
                <w:b/>
                <w:sz w:val="36"/>
                <w:szCs w:val="36"/>
              </w:rPr>
              <w:t>O</w:t>
            </w:r>
            <w:r w:rsidRPr="00FC6FBC">
              <w:rPr>
                <w:b/>
                <w:sz w:val="36"/>
                <w:szCs w:val="36"/>
                <w:vertAlign w:val="subscript"/>
              </w:rPr>
              <w:t>3</w:t>
            </w:r>
          </w:p>
        </w:tc>
        <w:tc>
          <w:tcPr>
            <w:tcW w:w="4285" w:type="dxa"/>
            <w:shd w:val="clear" w:color="auto" w:fill="auto"/>
          </w:tcPr>
          <w:p w:rsidR="00282CAF" w:rsidRDefault="00282CAF" w:rsidP="00282CAF"/>
        </w:tc>
        <w:tc>
          <w:tcPr>
            <w:tcW w:w="4065" w:type="dxa"/>
            <w:shd w:val="clear" w:color="auto" w:fill="auto"/>
          </w:tcPr>
          <w:p w:rsidR="00282CAF" w:rsidRDefault="00282CAF" w:rsidP="00282CAF"/>
          <w:p w:rsidR="00282CAF" w:rsidRDefault="00282CAF" w:rsidP="00282CAF"/>
          <w:p w:rsidR="00282CAF" w:rsidRDefault="00282CAF" w:rsidP="00282CAF"/>
          <w:p w:rsidR="00282CAF" w:rsidRDefault="00282CAF" w:rsidP="00282CAF"/>
        </w:tc>
      </w:tr>
      <w:tr w:rsidR="00282CAF" w:rsidTr="00282CAF">
        <w:trPr>
          <w:trHeight w:val="1333"/>
        </w:trPr>
        <w:tc>
          <w:tcPr>
            <w:tcW w:w="2396" w:type="dxa"/>
            <w:shd w:val="clear" w:color="auto" w:fill="auto"/>
            <w:vAlign w:val="center"/>
          </w:tcPr>
          <w:p w:rsidR="00282CAF" w:rsidRPr="00820EF0" w:rsidRDefault="00282CAF" w:rsidP="00282CAF">
            <w:pPr>
              <w:jc w:val="center"/>
              <w:rPr>
                <w:b/>
                <w:sz w:val="36"/>
                <w:szCs w:val="36"/>
              </w:rPr>
            </w:pPr>
            <w:r>
              <w:rPr>
                <w:b/>
                <w:sz w:val="36"/>
                <w:szCs w:val="36"/>
              </w:rPr>
              <w:t>BF</w:t>
            </w:r>
            <w:r w:rsidRPr="007A069F">
              <w:rPr>
                <w:b/>
                <w:sz w:val="36"/>
                <w:szCs w:val="36"/>
                <w:vertAlign w:val="subscript"/>
              </w:rPr>
              <w:t>3</w:t>
            </w:r>
          </w:p>
        </w:tc>
        <w:tc>
          <w:tcPr>
            <w:tcW w:w="4285" w:type="dxa"/>
            <w:shd w:val="clear" w:color="auto" w:fill="auto"/>
          </w:tcPr>
          <w:p w:rsidR="00282CAF" w:rsidRDefault="00282CAF" w:rsidP="00282CAF"/>
        </w:tc>
        <w:tc>
          <w:tcPr>
            <w:tcW w:w="4065" w:type="dxa"/>
            <w:shd w:val="clear" w:color="auto" w:fill="auto"/>
          </w:tcPr>
          <w:p w:rsidR="00282CAF" w:rsidRDefault="00282CAF" w:rsidP="00282CAF"/>
        </w:tc>
      </w:tr>
    </w:tbl>
    <w:p w:rsidR="00CA6746" w:rsidRPr="00820EF0" w:rsidRDefault="00CA6746">
      <w:pPr>
        <w:rPr>
          <w:b/>
          <w:sz w:val="26"/>
          <w:szCs w:val="26"/>
        </w:rPr>
      </w:pPr>
    </w:p>
    <w:sectPr w:rsidR="00CA6746" w:rsidRPr="00820EF0" w:rsidSect="0008096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47EB"/>
    <w:rsid w:val="00080969"/>
    <w:rsid w:val="00282CAF"/>
    <w:rsid w:val="002D6ADE"/>
    <w:rsid w:val="003045CB"/>
    <w:rsid w:val="005378CB"/>
    <w:rsid w:val="007A069F"/>
    <w:rsid w:val="007A5AF6"/>
    <w:rsid w:val="007C47EB"/>
    <w:rsid w:val="007E0B45"/>
    <w:rsid w:val="00820EF0"/>
    <w:rsid w:val="008B0DBD"/>
    <w:rsid w:val="00910BB4"/>
    <w:rsid w:val="0091125D"/>
    <w:rsid w:val="00B128D9"/>
    <w:rsid w:val="00BC1FC6"/>
    <w:rsid w:val="00CA1EF7"/>
    <w:rsid w:val="00CA6746"/>
    <w:rsid w:val="00FC6F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243E-A2E7-4C23-BC6D-42F24D51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146</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Lewis Dot Structures Worksheet #1</vt:lpstr>
    </vt:vector>
  </TitlesOfParts>
  <Company>Grandville Public Schools</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Dot Structures Worksheet #1</dc:title>
  <dc:creator>duser</dc:creator>
  <cp:lastModifiedBy>A. Rosencrans</cp:lastModifiedBy>
  <cp:revision>4</cp:revision>
  <cp:lastPrinted>2013-11-18T13:49:00Z</cp:lastPrinted>
  <dcterms:created xsi:type="dcterms:W3CDTF">2013-12-03T16:08:00Z</dcterms:created>
  <dcterms:modified xsi:type="dcterms:W3CDTF">2013-12-03T19:07:00Z</dcterms:modified>
</cp:coreProperties>
</file>